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Caminhos para além da Socioeducação</w:t>
      </w:r>
      <w:r w:rsidDel="00000000" w:rsidR="00000000" w:rsidRPr="00000000">
        <w:rPr>
          <w:rtl w:val="0"/>
        </w:rPr>
      </w:r>
    </w:p>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Painel destaca caminhos para além da socioeducação no Conexidades Mulher 2025</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Durante a terceira edição do Conexidades Mulher, realizada em Holambra (SP), o painel “Juventudes e Futuro: Caminhos para Além da Socioeducação” reuniu lideranças para discutir estratégias de reinserção social de adolescentes em cumprimento de medidas socioeducativas. Participaram do debate Claudia Carletto (presidente da Fundação CASA), João Pandolf (prefeito de Lins), Tutty Pereira (vereador e presidente da Câmara Municipal de Lins) e Thiago Honorário (gerente de RH da Bracol).</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Claudia Carletto apresentou o perfil dos jovens atendidos pela Fundação CASA, que acolhe adolescentes de 12 a 21 anos, com entrada até os 18. Muitos chegam em situação de vulnerabilidade extrema, sem acesso à educação formal, alimentação adequada ou estrutura familiar. A Fundação oferece atendimento multidisciplinar, com atividades culturais, esportivas e acompanhamento psicológico, buscando reconstruir trajetórias e oferecer novas perspectivas.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 presidente destacou o programa “Depois do Amanhã”, que apoia municípios no manejo e reinserção desses jovens. Lins é um dos exemplos mais bem-sucedidos, com apoio da empresa Bracol na contratação de adolescentes e até familiares. “Não adianta dizer que a criança é o futuro, pois na verdade toda criança tem um presente”, afirmou Claudia, reforçando que cada jovem resgatado representa uma vida transformada e um impacto positivo em sua comunidade.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Com vasta experiência em políticas públicas e inclusão social, ela defende que cada adolescente atendido pela Fundação é um ser em desenvolvimento, capaz de reconstruir sua trajetória com apoio, afeto e oportunidade. Claudia reforçou que o trabalho da instituição vai além da correção de condutas: é um projeto de vida que envolve educação, cultura, saúde mental e reinserção social, com foco na equidade e na dignidade dos jovens em situação de vulnerabilidade.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O prefeito de Lins João Pandolf compartilhou os resultados do projeto piloto em sua cidade, que já inseriu diversos jovens no mercado de trabalho. Ele ressaltou que o sistema socioeducativo não deve ser visto como punitivo, mas sim restaurador. “É possível mudar histórias, desde que haja vontade do jovem, oportunidade e empresas dispostas a escutar e apoiar”, disse. Pandolf também destacou o sucesso da escola cívico-militar municipalizada, eleita a 9a melhor nota entre as escolas de todo o Estado de São Paulo, elevando o IDEB local e melhorando o comportamento dos alunos.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Com sensibilidade e compromisso com a transformação social, Pandolf mostrou como políticas públicas bem estruturadas podem oferecer novas perspectivas de vida para jovens em situação de vulnerabilidade. Ele enfatizou o papel das prefeituras na construção de redes de apoio que envolvem educação, capacitação profissional e acolhimento, reforçando que o cuidado e a inclusão são pilares fundamentais para o desenvolvimento de uma sociedade mais justa e igualitária.</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Tutty Pereira, vereador e presidente da Câmara de Lins, reforçou a importância da articulação entre os poderes públicos e a iniciativa privada. Ele foi um dos responsáveis por levar o projeto à cidade, com apoio da prefeitura, da emprea Bracol, do governador Tarcísio de Freitas e do judiciário. O programa já beneficiou 15 adolescentes, com 6 atualmente empregados e alguns até iniciando cursos técnicos e universitários. “Cada jovem fora do crime é uma vitória. Que esse </w:t>
      </w:r>
      <w:r w:rsidDel="00000000" w:rsidR="00000000" w:rsidRPr="00000000">
        <w:rPr>
          <w:i w:val="1"/>
          <w:sz w:val="24"/>
          <w:szCs w:val="24"/>
          <w:rtl w:val="0"/>
        </w:rPr>
        <w:t xml:space="preserve">case</w:t>
      </w:r>
      <w:r w:rsidDel="00000000" w:rsidR="00000000" w:rsidRPr="00000000">
        <w:rPr>
          <w:sz w:val="24"/>
          <w:szCs w:val="24"/>
          <w:rtl w:val="0"/>
        </w:rPr>
        <w:t xml:space="preserve"> inspire outros municípios”, declarou.</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Ele aponta serem necessárias políticas públicas que não apenas acolham os adolescentes em conflito com a lei, mas que também ofereçam caminhos reais de transformação. Tutty defendeu que o legislativo municipal deve ser protagonista na articulação de projetos que envolvam educação, cultura e capacitação, atuando em parceria com instituições como a Fundação CASA e com a sociedade civil. Seu compromisso com a reinserção social e a valorização da juventude foi um dos pontos altos do painel.</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Thiago Honorário, gerente de RH da Bracol, trouxe a perspectiva empresarial do projeto. A empresa abraçou a causa social com responsabilidade, superando barreiras como preconceito e assédio por meio de conscientização interna. Os jovens são contratados sem processo seletivo, passam por um tour na empresa e entram em programas de aprendizagem. Após a maioridade, são efetivados. “Eles não são números, são nomes, histórias e potenciais”, afirmou Thiago.</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A Bracol, empresa especializada em calçados de segurança, é destaque por seu engajamento em projetos sociais voltados à reinserção de adolescentes egressos da Fundação CASA. Sob a liderança de Thiago, a empresa atua como parceira estratégica dando oportunidades reais de trabalho para esses jovens. A Bracol acredita que o acolhimento e a inclusão no mercado formal são ferramentas poderosas para romper ciclos de vulnerabilidade e exclusão. Por meio de programas de formação e integração, a empresa contribui diretamente para que esses adolescentes reconstruam suas trajetórias e de suas famílias com dignidade e autonomia.</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Casos como o de Guilherme, jovem de Birigui, e seu pai Carlos, mostram o impacto do projeto. Ambos foram contratados pela Bracol e hoje trabalham lado a lado, com planos de crescimento e estabilidade. Outro participante, Michael, de Promissão, relatou como a oportunidade mudou sua vida e a de sua família. Os depoimentos emocionaram o público e reforçaram a importância de iniciativas que unem inclusão, trabalho e dignidade.</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O painel reforçou que investir na juventude é investir no futuro do país. Com apoio da Fundação CASA, empresas comprometidas e gestores públicos engajados, é possível transformar realidades e romper ciclos de vulnerabilidade. O projeto “Depois do Amanhã” é prova viva de que, com uma rede de apoio e vontade política, cada jovem pode escrever uma nova história.</w:t>
      </w:r>
    </w:p>
    <w:p w:rsidR="00000000" w:rsidDel="00000000" w:rsidP="00000000" w:rsidRDefault="00000000" w:rsidRPr="00000000" w14:paraId="0000001B">
      <w:pPr>
        <w:rPr>
          <w:sz w:val="24"/>
          <w:szCs w:val="24"/>
        </w:rPr>
      </w:pPr>
      <w:r w:rsidDel="00000000" w:rsidR="00000000" w:rsidRPr="00000000">
        <w:rPr>
          <w:sz w:val="24"/>
          <w:szCs w:val="24"/>
          <w:rtl w:val="0"/>
        </w:rPr>
        <w:t xml:space="preserve">  </w:t>
      </w:r>
    </w:p>
    <w:p w:rsidR="00000000" w:rsidDel="00000000" w:rsidP="00000000" w:rsidRDefault="00000000" w:rsidRPr="00000000" w14:paraId="0000001C">
      <w:pPr>
        <w:rPr>
          <w:sz w:val="24"/>
          <w:szCs w:val="24"/>
        </w:rPr>
      </w:pPr>
      <w:r w:rsidDel="00000000" w:rsidR="00000000" w:rsidRPr="00000000">
        <w:rPr>
          <w:sz w:val="24"/>
          <w:szCs w:val="24"/>
          <w:rtl w:val="0"/>
        </w:rPr>
        <w:t xml:space="preserve">📍 Serviço  </w:t>
      </w:r>
    </w:p>
    <w:p w:rsidR="00000000" w:rsidDel="00000000" w:rsidP="00000000" w:rsidRDefault="00000000" w:rsidRPr="00000000" w14:paraId="0000001D">
      <w:pPr>
        <w:rPr>
          <w:sz w:val="24"/>
          <w:szCs w:val="24"/>
        </w:rPr>
      </w:pPr>
      <w:r w:rsidDel="00000000" w:rsidR="00000000" w:rsidRPr="00000000">
        <w:rPr>
          <w:sz w:val="24"/>
          <w:szCs w:val="24"/>
          <w:rtl w:val="0"/>
        </w:rPr>
        <w:t xml:space="preserve">8º Conexidades – Encontro Nacional de Parcerias Públicas e Privadas  </w:t>
      </w:r>
    </w:p>
    <w:p w:rsidR="00000000" w:rsidDel="00000000" w:rsidP="00000000" w:rsidRDefault="00000000" w:rsidRPr="00000000" w14:paraId="0000001E">
      <w:pPr>
        <w:rPr>
          <w:sz w:val="24"/>
          <w:szCs w:val="24"/>
        </w:rPr>
      </w:pPr>
      <w:r w:rsidDel="00000000" w:rsidR="00000000" w:rsidRPr="00000000">
        <w:rPr>
          <w:sz w:val="24"/>
          <w:szCs w:val="24"/>
          <w:rtl w:val="0"/>
        </w:rPr>
        <w:t xml:space="preserve">📅 Data: 4 a 8 de agosto de 2025  </w:t>
      </w:r>
    </w:p>
    <w:p w:rsidR="00000000" w:rsidDel="00000000" w:rsidP="00000000" w:rsidRDefault="00000000" w:rsidRPr="00000000" w14:paraId="0000001F">
      <w:pPr>
        <w:rPr>
          <w:sz w:val="24"/>
          <w:szCs w:val="24"/>
        </w:rPr>
      </w:pPr>
      <w:r w:rsidDel="00000000" w:rsidR="00000000" w:rsidRPr="00000000">
        <w:rPr>
          <w:sz w:val="24"/>
          <w:szCs w:val="24"/>
          <w:rtl w:val="0"/>
        </w:rPr>
        <w:t xml:space="preserve">📍 Local: Centro de Eventos de Holambra (SP)  </w:t>
      </w:r>
    </w:p>
    <w:p w:rsidR="00000000" w:rsidDel="00000000" w:rsidP="00000000" w:rsidRDefault="00000000" w:rsidRPr="00000000" w14:paraId="00000020">
      <w:pPr>
        <w:rPr>
          <w:sz w:val="24"/>
          <w:szCs w:val="24"/>
        </w:rPr>
      </w:pPr>
      <w:r w:rsidDel="00000000" w:rsidR="00000000" w:rsidRPr="00000000">
        <w:rPr>
          <w:sz w:val="24"/>
          <w:szCs w:val="24"/>
          <w:rtl w:val="0"/>
        </w:rPr>
        <w:t xml:space="preserve">🔗 Informações e inscrições: conexidades.com.br</w:t>
      </w:r>
      <w:r w:rsidDel="00000000" w:rsidR="00000000" w:rsidRPr="00000000">
        <w:rPr>
          <w:rtl w:val="0"/>
        </w:rPr>
      </w:r>
    </w:p>
    <w:sectPr>
      <w:headerReference r:id="rId6" w:type="default"/>
      <w:footerReference r:id="rId7"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