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Prefeitos defendem consórcios como caminho para eficiência e sustentabilidade</w:t>
        <w:br w:type="textWrapping"/>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O fortalecimento da gestão pública por meio de parcerias regionais foi o foco do painel sobre consórcios intermunicipais realizado no Conexidades 2025.</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Coordenando o painel esteve José Mario Brasiliense, da Oficina Municipal | Escola de Cidadania e gestão Pública que intermediou a conversa com: Guto Issa, Prefeito Municipal de São Roque e Presidente do Consórcio Intermunicipal da Região Oeste Metropolitana de São Paulo (CIOESTE), José Ricardo Cortez, Prefeito Municipal de Santo Antônio de Posse e Presidente do Consórcio Intermunicipal de Saúde da Região Metropolitana de Campinas – Polo Holambra (CISMETRO HOLAMBRA), João Victor Barboza, Prefeito Municipal de Águas de São Pedro e Presidente do Consórcio Intermunicipal de Saúde da Região Metropolitana de Campinas, Polo Limeira (CISMETRO LIMEIRA), Lucas Seren, Prefeito Municipal de Bebedouro e Presidente do Consórcio de Desenvolvimento do Vale do Rio Grande (CODEVAR), Juninho Gaspar, Prefeito Municipal de Batatais e Presidente do Consórcio Intermunicipal da Alta Mogiana (COMAM), Rodrigo Falsetti, Prefeito Municipal de Mogi-Guaçu e Presidente do Consórcio Intermunicipal para o Desenvolvimento Sustentável (CONDESU), Domingos Mente Lopes, Prefeito Municipal de Euclides da Cunha Paulista e Presidente do Consórcio União dos Municípios do Pontal do Paranapanema (Unipontal).</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Silvia abriu o painel falando que a questão dos consórcios é uma questão fundamental de política pública que, muitas vezes, essa é uma maneira de ajudar os prefeitos a conseguirem aquilo que é necessário para os municípios de forma mais fácil e acessível. A CEO do Conexidades lembrou também que é essencial que os vereadores estejam atentos a esse trabalho e tenham essa aproximação.</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José Mario Brasiliense destacou que sustentabilidade, meio ambiente, clima, energia, é um tema de caráter intermunicipal. É um tema para os consórcios intermunicipais. </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 afirmou que os consórcios tratam de praticamente todos os temas pertinentes à cidade; e os prefeitos percebem que tem que somar com seus vizinhos, seus pares.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Na sequência, convidou os participantes a apresentarem seus cases de sucesso com consórcios.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Guto Issa, em sua fala, abordou a questão tributária e financeira dos municípios. “Os consórcios são uma ferramenta incrível de compras”, comentou o representante do CIOESTE, que integra 15 municípios atualmente.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Para Issa, a importância passou a ser maior ainda com a Lei das Licitações: “onde nós podemos fazer compras coletivas e as atas desses consórcios podem ser aderidas por qualquer cidade do país. Na minha visão de futuro é que em dois ou três anos cidades pequenas não precisarão mais licitar insumos”.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Já José Ricardo Cortez disse que os consórcios hoje são soluções porque oferecem parceria entre os municípios. “Isso possibilita, através do consórcio, tornarmos um município pequeno, como Santo Antônio de Posse, termos o acesso, de uma forma legal, de uma forma de credenciamento. É impossível, hoje, viver sem consórcio”.</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João Vitor Barboza, por sua vez, apresentou a evolução das ações coletivas da cidade de Águas de São Pedro e de investimentos. “A gente tem que tentar buscar caminhos para a economicidade fazer trazer resultado”.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Consórcios e inovação</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Lucas Seren apresentou seu case de sucesso da cidade de Bebedouro e região com o uso de Inteligência Artificial para aprimorar a arrecadação e como a convivência do consórcio amplia a experiência aos municípios. A gente tem que se unir. A união vai ser fundamental”, comentou o representante do CODEVAR em alusão à importância do assunto para municípios pequenos.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Para Lucas, o consórcio também é um espaço de troca de experiência. “A gente sentar e bater um papo também ajuda a transformar o município. Tenho certeza que o consórcio é o futuro da administração pública. A gente vai comprar melhor, vai unir as nossas pautas, e a gente pode ter um planejamento estratégico regional através do consórcio”.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A iluminação pública é um dos temas relevantes para a transformação das cidades e, na região do COMAM, rendeu um importante case de sucesso com 15 municípios de pequeno porte. Segundo Juninho Gaspar, o projeto foi pensado para atender uma necessidade de superação dos modelos de contratação tradicionais e redução de custos operacionais, além de atingir os ODS da Agenda 2030 e reduzir o consumo de energia nas cidades. “A grande maioria desses municípios não conseguiria cumprir os acordos legais se não fosse o consórcio”, sinalizou. </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Rodrigo Falsetti ressaltou a dificuldade que os gestores passam com as licitações. “Quando eu conheci o consórcio, a gente viu os serviços andarem com agilidade, com preço justo, onde as cidades que fazem parte têm um serviço homogêneo”. Enquanto Domingos Mente Lopes finalizou dizendo que é preciso “ter a consciência de estar unidos para poder avançar”.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20">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21">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22">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spacing w:after="240" w:before="240" w:lineRule="auto"/>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