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Inovação é destaque em painel no segundo dia do Conexidades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terceiro painel na manhã desta terça-feira no Conexidades foi “Inovação Pública: Tecnologia e Finanças Para Uma Gestão Eficiente”. Estiveram presentes Gileno Gurjão Barreto, Presidente da Companhia de Processamento de Dados do Estado de São Paulo (PRODESP); Marcela Arruda, Secretária Municipal de Gestão de São Paulo e Presidente do Fórum de Secretarias Municipais de Administração das Capitais (FONAC) e Orlando Belchior, Diretor de Operações da Mêntore Consultoria e Gestão.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Sebastião Misiara, presidente do Conselho Gestor da UVESP, destacou a importância de discutir o tema e a seguir a palavra foi passada a Gileno Gurjão Barreto. O foco da apresentação foi a transformação digital, e Barreto destacou as mudanças trazidas pela plataforma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gov.br</w:t>
        </w:r>
      </w:hyperlink>
      <w:r w:rsidDel="00000000" w:rsidR="00000000" w:rsidRPr="00000000">
        <w:rPr>
          <w:sz w:val="24"/>
          <w:szCs w:val="24"/>
          <w:rtl w:val="0"/>
        </w:rPr>
        <w:t xml:space="preserve">, do Governo Federal e como serviu de modelo para o Estado de São Paulo. “Nós voltamos nossos olhos para os grandes projetos de transformação onde nós poderíamos trazer o maior e melhor benefício ao cidadão no menor espaço de tempo possível”, afirmou, dando exemplo da plataforma do Detran e do Facilita São Paulo, que agilizaram e simplificaram processos com menos burocracia. “Queremos que o cidadão cada vez mais gaste menos tempo com serviços públicos e possa dedicar o seu tempo a o que realmente interessa”, seguiu. “Esse é o cerne da estratégia de governo digital </w:t>
        <w:tab/>
        <w:t xml:space="preserve">que nós adotamos aqui em São Paulo”.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Ainda segundo Barreto, a nova etapa é oferecer serviços digitais aos municípios, através da plataforma Cidades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SP.GOV.BR</w:t>
        </w:r>
      </w:hyperlink>
      <w:r w:rsidDel="00000000" w:rsidR="00000000" w:rsidRPr="00000000">
        <w:rPr>
          <w:sz w:val="24"/>
          <w:szCs w:val="24"/>
          <w:rtl w:val="0"/>
        </w:rPr>
        <w:t xml:space="preserve">. Com o aumento do fluxo de pessoas que migram para o interior, a necessidade de oferecer novos serviços e de maneira mais ágil aumenta e esse projeto vem para oferecer a todos os municípios uma transformação digital por meio de assinatura, de adesão a um pacote de serviços disponibilizado para as prefeituras com a imagem e o logo de cada uma, sem a necessidade de contratos. “A principal mensagem aqui é que possamos oferecer esses serviços para todos de forma gratuita e de forma ampla”, completou. 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seguir foi a vez de Marcela Arruda contribuir para o tema. “A verdadeira inovação na gestão pública diz respeito às pessoas. Enquanto o gestor público não estiver conectado com essa transformação na capacitação de pessoas, nós não estabeleceremos uma conexão com o que é a nova gestão pública, que trabalha com inteligência artificial e robotização”, disse. “ A Secretria de Gestão, ao pensar tecnologias, pensa numa grande conexão que envolve produtos, serviços, a capacitação de pessoas, essa cadeia de suprimentos, a estratégia corporativa, a colaboração e competência dos servidores públicos”, seguiu, falando ainda da dificuldade de gestores em fechar negócios por não entenderem a importância de determinado produto ou serviço, pensando muitas vezes apenas no investimento financeiro. Em sua fala, anunciou ainda que São Paulo está autorizada a testar a pesquisa pública, que seria a compra pública de soluções inovadoras, e divulgou informações sobre o projeto paulistano que treina mulheres na liderança com foco em tecnologia. “Muitas vezes não encontramos mulheres habilitadas na área de tecnologia”, lamentou.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Outra iniciativa que a secretária destacou foi o Diário Oficial digitalizado, que permite a divulgação de atos oficiais com apenas um clique economizando tempo e garantindo eficiência ao processo. Outras tecnologias também foram mencionadas durante o painel, mostrando as vantagens de implantá-las. “Precisamos treinar os servidores na gestão e análise de dados, pois estamos trabalhando com mais inteligência e agilidade, mas precisa investir na segurança. A tecnologia e inovação  sem a segurança pouco serve para o gestor público”, enfatizou. Ela encerrou com uma dica: “Se vocês que estão desenvolvendo produtos não deixarem muito claro que o desenvolvimento da tecnologia está atrelado a uma linha de segurança na aplicação, que o gestor público não será atacado com normas da LGPD e outras, vai causar uma certa estranheza, porque não estamos atrás apenas da tecnologia e sim da aplicação do melhor serviço”.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fim, Orlando Belchior apresentou sua empresa, a Mêntore, que é uma instituição de pagamento que quer transformar como as pessoas enxergam as finanças através de acessibilidade de servidores e funcionários de empresas ao sistema financeiro, visto que muitos não têm acesso por restrições ao crédito ou pela fuga dos grandes bancos das cidades menores. A instituição de pagamento é totalmente tecnológica e busca atuar nas cidades pequenas. “A gente entende que inovação pública não é somente trazer novas tecnologias. É contribuir também para a evolução da gestão, colocar o cidadão no centro desse processo. E isso é o que nos move nesse objetivo e nas parcerias que temos com as prefeituras no interior dos estados, em municípios de pequeno e médio porte”, encerrou.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4 a 8 de agosto de 2025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Centro de Eventos de Holambra (SP)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e inscrições: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conexidades.com.br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gov.br" TargetMode="External"/><Relationship Id="rId7" Type="http://schemas.openxmlformats.org/officeDocument/2006/relationships/hyperlink" Target="http://sp.gov.br" TargetMode="External"/><Relationship Id="rId8" Type="http://schemas.openxmlformats.org/officeDocument/2006/relationships/hyperlink" Target="https://conexidades.com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