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068D" w:rsidRPr="00075916" w:rsidRDefault="00671AC6">
      <w:pPr>
        <w:jc w:val="both"/>
        <w:rPr>
          <w:rFonts w:ascii="Arial" w:hAnsi="Arial" w:cs="Arial"/>
          <w:b/>
          <w:sz w:val="24"/>
          <w:szCs w:val="24"/>
        </w:rPr>
      </w:pPr>
      <w:r w:rsidRPr="00075916">
        <w:rPr>
          <w:rFonts w:ascii="Arial" w:hAnsi="Arial" w:cs="Arial"/>
          <w:b/>
          <w:sz w:val="24"/>
          <w:szCs w:val="24"/>
        </w:rPr>
        <w:t xml:space="preserve">Contribuição das Concessões e </w:t>
      </w:r>
      <w:proofErr w:type="spellStart"/>
      <w:r w:rsidRPr="00075916">
        <w:rPr>
          <w:rFonts w:ascii="Arial" w:hAnsi="Arial" w:cs="Arial"/>
          <w:b/>
          <w:sz w:val="24"/>
          <w:szCs w:val="24"/>
        </w:rPr>
        <w:t>PPPs</w:t>
      </w:r>
      <w:proofErr w:type="spellEnd"/>
      <w:r w:rsidRPr="00075916">
        <w:rPr>
          <w:rFonts w:ascii="Arial" w:hAnsi="Arial" w:cs="Arial"/>
          <w:b/>
          <w:sz w:val="24"/>
          <w:szCs w:val="24"/>
        </w:rPr>
        <w:t xml:space="preserve"> para o desenvolvimento para os municípios</w:t>
      </w:r>
    </w:p>
    <w:p w14:paraId="00000003" w14:textId="45645194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Este foi o tema do 3º painel </w:t>
      </w:r>
      <w:bookmarkStart w:id="0" w:name="_GoBack"/>
      <w:bookmarkEnd w:id="0"/>
      <w:r w:rsidRPr="00075916">
        <w:rPr>
          <w:rFonts w:ascii="Arial" w:hAnsi="Arial" w:cs="Arial"/>
          <w:sz w:val="24"/>
          <w:szCs w:val="24"/>
        </w:rPr>
        <w:t>do dia, do 5º Conexidades, formado por Fernando Albino, advogado e especialista na área de PPS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João Roberto Benites, CEO da JRBENITES Board &amp; </w:t>
      </w:r>
      <w:proofErr w:type="spellStart"/>
      <w:r w:rsidRPr="00075916">
        <w:rPr>
          <w:rFonts w:ascii="Arial" w:hAnsi="Arial" w:cs="Arial"/>
          <w:sz w:val="24"/>
          <w:szCs w:val="24"/>
        </w:rPr>
        <w:t>Advisory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e Marco Aurélio Gomes, ex-</w:t>
      </w:r>
      <w:r>
        <w:rPr>
          <w:rFonts w:ascii="Arial" w:hAnsi="Arial" w:cs="Arial"/>
          <w:sz w:val="24"/>
          <w:szCs w:val="24"/>
        </w:rPr>
        <w:t>P</w:t>
      </w:r>
      <w:r w:rsidRPr="00075916">
        <w:rPr>
          <w:rFonts w:ascii="Arial" w:hAnsi="Arial" w:cs="Arial"/>
          <w:sz w:val="24"/>
          <w:szCs w:val="24"/>
        </w:rPr>
        <w:t xml:space="preserve">refeito do município de Itanhaém. </w:t>
      </w:r>
    </w:p>
    <w:p w14:paraId="00000005" w14:textId="5794DE79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Abrindo o painel, Fernando Albino </w:t>
      </w:r>
      <w:r w:rsidR="004E0FF3">
        <w:rPr>
          <w:rFonts w:ascii="Arial" w:hAnsi="Arial" w:cs="Arial"/>
          <w:sz w:val="24"/>
          <w:szCs w:val="24"/>
        </w:rPr>
        <w:t>c</w:t>
      </w:r>
      <w:r w:rsidRPr="00075916">
        <w:rPr>
          <w:rFonts w:ascii="Arial" w:hAnsi="Arial" w:cs="Arial"/>
          <w:sz w:val="24"/>
          <w:szCs w:val="24"/>
        </w:rPr>
        <w:t xml:space="preserve">omenta que hoje no país há 1.875 </w:t>
      </w:r>
      <w:proofErr w:type="spellStart"/>
      <w:r w:rsidRPr="00075916">
        <w:rPr>
          <w:rFonts w:ascii="Arial" w:hAnsi="Arial" w:cs="Arial"/>
          <w:sz w:val="24"/>
          <w:szCs w:val="24"/>
        </w:rPr>
        <w:t>PPPs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estabelecidas com municípios e Estados, havendo dentro desse número uma fração insignificante junto ao Governo Federal. A grande parte dessas parcerias se d</w:t>
      </w:r>
      <w:r>
        <w:rPr>
          <w:rFonts w:ascii="Arial" w:hAnsi="Arial" w:cs="Arial"/>
          <w:sz w:val="24"/>
          <w:szCs w:val="24"/>
        </w:rPr>
        <w:t xml:space="preserve">á </w:t>
      </w:r>
      <w:r w:rsidRPr="00075916">
        <w:rPr>
          <w:rFonts w:ascii="Arial" w:hAnsi="Arial" w:cs="Arial"/>
          <w:sz w:val="24"/>
          <w:szCs w:val="24"/>
        </w:rPr>
        <w:t xml:space="preserve">em áreas como saneamento, presídios, saúde, entre outros. Projetos de Estrutura são parcerias produtivas para ambos os lados, considerando que não há ônus para o poder público. </w:t>
      </w:r>
    </w:p>
    <w:p w14:paraId="00000006" w14:textId="7777777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A parceria através de Parcerias Público Privadas torna o desenvolvimento de projetos e resoluções de problemáticas de forma mais rápida e segura, em comparação ao conhecido “chamamento público”, que tem seu processo extenso, que normalmente se estende até por mais de um ano. </w:t>
      </w:r>
    </w:p>
    <w:p w14:paraId="00000007" w14:textId="225AC998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Fernando Albino ressalta para que haja o entendimento de que PPP é serviço, não compra. Parcerias podem ser transformadoras, como o exemplo em conectividade, onde a empresa investidora (também chamada de patrocinadora), aplica na criação de uma rede de alta tecnologia, como a 5G, para que possa explorar com contrapartidas como </w:t>
      </w:r>
      <w:proofErr w:type="spellStart"/>
      <w:r w:rsidRPr="00075916">
        <w:rPr>
          <w:rFonts w:ascii="Arial" w:hAnsi="Arial" w:cs="Arial"/>
          <w:sz w:val="24"/>
          <w:szCs w:val="24"/>
        </w:rPr>
        <w:t>wi-fi</w:t>
      </w:r>
      <w:proofErr w:type="spellEnd"/>
      <w:r w:rsidRPr="00075916">
        <w:rPr>
          <w:rFonts w:ascii="Arial" w:hAnsi="Arial" w:cs="Arial"/>
          <w:sz w:val="24"/>
          <w:szCs w:val="24"/>
        </w:rPr>
        <w:t xml:space="preserve"> aberta em áreas públicas, garantia de rede estável.</w:t>
      </w:r>
    </w:p>
    <w:p w14:paraId="00000008" w14:textId="7777777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 xml:space="preserve">Comenta sobre uma parceria realizada com o Estado do Piauí, que transformou o Estado de o com pior conexão no país, para o 1º lugar, sendo possível conexão hoje em 224 municípios abastecidos por fibra ótica. </w:t>
      </w:r>
    </w:p>
    <w:p w14:paraId="00000009" w14:textId="5A6CC3C7" w:rsidR="00B3068D" w:rsidRPr="00075916" w:rsidRDefault="00671AC6">
      <w:pPr>
        <w:jc w:val="both"/>
        <w:rPr>
          <w:rFonts w:ascii="Arial" w:hAnsi="Arial" w:cs="Arial"/>
          <w:sz w:val="24"/>
          <w:szCs w:val="24"/>
        </w:rPr>
      </w:pPr>
      <w:r w:rsidRPr="00075916">
        <w:rPr>
          <w:rFonts w:ascii="Arial" w:hAnsi="Arial" w:cs="Arial"/>
          <w:sz w:val="24"/>
          <w:szCs w:val="24"/>
        </w:rPr>
        <w:t>Por fim lembra que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em 2040</w:t>
      </w:r>
      <w:r>
        <w:rPr>
          <w:rFonts w:ascii="Arial" w:hAnsi="Arial" w:cs="Arial"/>
          <w:sz w:val="24"/>
          <w:szCs w:val="24"/>
        </w:rPr>
        <w:t>,</w:t>
      </w:r>
      <w:r w:rsidRPr="00075916">
        <w:rPr>
          <w:rFonts w:ascii="Arial" w:hAnsi="Arial" w:cs="Arial"/>
          <w:sz w:val="24"/>
          <w:szCs w:val="24"/>
        </w:rPr>
        <w:t xml:space="preserve"> 20% a população brasileira apenas estará </w:t>
      </w:r>
      <w:proofErr w:type="gramStart"/>
      <w:r w:rsidRPr="00075916">
        <w:rPr>
          <w:rFonts w:ascii="Arial" w:hAnsi="Arial" w:cs="Arial"/>
          <w:sz w:val="24"/>
          <w:szCs w:val="24"/>
        </w:rPr>
        <w:t>na  faixa</w:t>
      </w:r>
      <w:proofErr w:type="gramEnd"/>
      <w:r w:rsidRPr="00075916">
        <w:rPr>
          <w:rFonts w:ascii="Arial" w:hAnsi="Arial" w:cs="Arial"/>
          <w:sz w:val="24"/>
          <w:szCs w:val="24"/>
        </w:rPr>
        <w:t xml:space="preserve"> etária dos 25 anos, para uma população de idosos que farão suas consultas online.</w:t>
      </w:r>
    </w:p>
    <w:sectPr w:rsidR="00B3068D" w:rsidRPr="000759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8D"/>
    <w:rsid w:val="00075916"/>
    <w:rsid w:val="004E0FF3"/>
    <w:rsid w:val="00671AC6"/>
    <w:rsid w:val="00B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A9CA"/>
  <w15:docId w15:val="{EE487D82-5512-4424-958A-B9907AD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2</cp:revision>
  <dcterms:created xsi:type="dcterms:W3CDTF">2022-06-09T12:02:00Z</dcterms:created>
  <dcterms:modified xsi:type="dcterms:W3CDTF">2022-06-09T12:02:00Z</dcterms:modified>
</cp:coreProperties>
</file>